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СОГЛАШЕНИЕ С КОНЕЧНЫМ ПОЛЬЗОВАТЕЛЕМ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Москва, 22.09.2023 г.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Настоящее Соглашение (далее по тексту – Соглашение) представляет собой соглашение, заключаемое между Общество с ограниченной ответственностью «ДОМОНАП» (далее по тексту – Правообладатель/Оператор услуги), являющимся обладателем исключительных прав на Прогр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аммный продукт «DOMONAP» (далее по тексту – ПП), и Конечным пользователем, совместно именуются Стороны, а по отдельности – Сторона.Если Конечный пользователь не согласен принять на себя условия настоящего Соглашения, то он не имеет права использовать ПП. О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существляя действия по установке Мобильного приложения, Конечный пользователь подтверждает свое полное и безоговорочное согласие со всеми условиями настоящего Соглашения и обязуется их соблюдать.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Оператор услуги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– “ООО ДОМОНАП”;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Программный продукт (ПП)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– программный комплекс «DOMONAP» - результат интеллектуальной деятельности, представляющий собой совокупность программного обеспечения (программ для ЭВМ), баз данных и иной информации, доступ к которому возможен посредством сети Интернет по доменному имени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 domonap.ru, с использованием Мобильного приложения или веб-браузера;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Мобильное приложение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- программа для Мобильных устройств, существующая в нескольких версиях (каждая из которых обладает аналогичными свойствами и функциями) и доступная для бесплатной установки на мобильные устройства через специализированные сервисы, такие как «Google Play»,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«Apple Store» или иные подобные сервисы. Версии Мобильного приложения могут иметь отличия, обусловленные различиями операционных систем мобильных устройств, для установки на которые они предназначены.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Домофон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– устанавливаемая в жилом доме Конечного пользователя электронная система ограниченного доступа, устанавливаемая на входе в жилой дом, блока управления. Домофон может быть оснащен и/или дополнен любыми устройствами и системами, такими как дополнительные ка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меры наблюдения, система управления шлагбаумом, находящимся при въезде на придомовую территорию, придомовое видеонаблюдение и т.п.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Квартира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– жилое помещение, расположенное в многоквартирном доме или доме, который оборудован Домофоном, принадлежащей Конечному пользователю на праве собственности или на ином законном основании.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Адрес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– Фактический адрес. Где расположена Квартира. Имеет формат:- Индекс, Страна, Область, Город, Улица, Дом, Корпус/Строение, Подъезд, Квартира; Конечный пользователь отправляет Оператору услуги Заявку на присоединения, для доступа к возможностям ПП по указан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ному адресу и получения статуса Жильца по указанному в Заявке на присоединение адреса;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Конечный пользователь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– это физическое или юридическое лицо, использующее ПП способами, определенными настоящим Соглашением, без права передачи прав на использование ПП третьим лицам;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Заявка присоединения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- форма обратной связи с Оператором услуги на подключение Квартиры Конечного пользователя к ПП;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Жилец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- Конечный пользователь, воспользовавшийся Заявкой присоединения, подтвердивший свой Адрес и выступающий в роли Конечного пользователя, который управляет доступом по своему Адресу, принимает гостей и использует функционал доступный только Конечным пользова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телям, подавшим Заявку присоединения и подтвердившим свой Адрес;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Гость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- Конечный пользователь, как подавший Заявку присоединение и подтвердивший свой Адрес, так и не имеющий подтвержденного Адреса. Гость посещает Адреса других Конечных пользователей и использует функционал ПП для вызова Жильцов с просьбой обеспечить ему дост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уп на Адрес или использует Ключ-приглашение, заранее созданный для него Жильцом;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Электронный ключ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– функциональная возможность ПП, реализующая возможность фактического управления доступом по Адресу. Используя программную возможность Электронный ключ Конечный пользователь открывает запирающее устройство, установленное на двери подъезда, калитке, шлагбау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ме или другой системе контроля доступа. Электронный ключ Конечный пользователь получает после отправки Оператору услуги Заявки на присоединение и подтверждения Адреса. Пользователь несет полную личную ответственность используя Электронный ключ за доступ в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подъезд;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Ключ-приглашение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– является Электронным ключом, который Жилец, по средствам функционала ПП, направляет Гостю, предоставляя ему временную возможность управлять доступом по Адресу Жильца. Жилец несет полную личную ответственность за выданные им Ключи-приглашения, а Гость нес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ет полную личную ответственность за действия совершенные им на территории Адреса, где им был получен доступ;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Генерация ключа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– функциональная возможность ПП, реализующая возможность создания Электронного ключа и подтверждения Адреса минуя Заявку присоединения. Позволяет Жильцу подтвердить Адрес своего соседа в рамках одного подъезда. Жилец, используя функциональную возможность,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Генерировать ключ, берет на себя полную ответственность за предоставленный третьему лицу доступ и корректность его данных и Адреса (Квартиры);</w:t>
      </w:r>
      <w:r>
        <w:rPr>
          <w:color w:val="000000" w:themeColor="text1"/>
        </w:rPr>
      </w:r>
    </w:p>
    <w:p>
      <w:pPr>
        <w:pStyle w:val="834"/>
        <w:numPr>
          <w:ilvl w:val="0"/>
          <w:numId w:val="1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Чат- функциональная возможность ПП, позволяющая Жильцами общаться в формате электронный переписки и отправлять изображения (фото). Представлены в виде групповых Чатов, объединяющих всех Жильцов с подтвержденным Адресом в одном подъезде и персональный чаты,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 между Жильцами одной Квартиры с Жителями другой Квартиры, в рамках подтвержденного Адреса в одном подъезде.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СПОСОБЫ ИСПОЛЬЗОВАНИЯ ПП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Если иное не установлено Соглашением, то Конечный пользователь вправе использовать ПП следующим образом: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Доступность возможностей и услуг в приложении устанавливает Оператор услуги, предоставляющий услугу по адресу расположения Квартиры Конечного пользователя;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Размещение в Мобильном приложении заявки на присоединение Квартиры и подтверждение Адреса, принадлежащей Конечному пользователю на праве собственности или на ином законном основании, к ПП и получения статуса Жильца;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Просмотр видео в режиме реального времени в процессе совершаемых между Конечными пользователями видео-вызовов;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Использование аудио-вызовов в режиме реального времени в процессе совершаемых между Конечными пользователями аудио-вызовов;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Активация (инициация) открытия подключенных к ПП магнитных замков, шлагбаумов, калиток, ворот и прочих объектов посредствам Электронных ключей и Ключей-приглашений;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Прием вызова с от Гостей в Мобильном приложении и диалог с вызывающим Конечными пользователями;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Осуществлять переписку с другими Жильцами посредствам онлайн групповых и индивидуальных Чатов, в рамках одного подъезда;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Использовать ПП для посещения других адресов, не являющихся Адресом Квартиры, указанной Конечным пользователем в заявке присоединения в качестве Гостя;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Использовать ПП для вызова других Конечных пользователей (Жильцов) по средствам видеодомофона, по адресам не являющихся Адресом Квартиры, указанной Конечным пользователем в заявке присоединения, где он имеет статус Жилец;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Отправлять другим Конечным пользователям Ключи-приглашения, являющиеся полноценным правом доступа на выбранные пользователем Адреса, другим пользователям, являющимися Гостями и не проживающими по Адресу, указанному Конечным пользователем в заявке присоедин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ения;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Использовать иной доступный функционал, включенный в Мобильное приложение, только для Квартиры, указанной Конечным пользователем в заявке присоединения, согласно п. 2.1.1 настоящего Соглашения.</w:t>
      </w:r>
      <w:r>
        <w:rPr>
          <w:color w:val="000000" w:themeColor="text1"/>
        </w:rPr>
      </w:r>
    </w:p>
    <w:p>
      <w:pPr>
        <w:pStyle w:val="834"/>
        <w:numPr>
          <w:ilvl w:val="0"/>
          <w:numId w:val="2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Конечный пользователь не вправе использовать Программный продукт и совершать действия, прямо не предусмотренные настоящим Соглашением и/или Мобильным приложением</w:t>
      </w:r>
      <w:r>
        <w:rPr>
          <w:color w:val="000000" w:themeColor="text1"/>
        </w:rPr>
      </w:r>
    </w:p>
    <w:p>
      <w:pPr>
        <w:ind w:left="0" w:right="0" w:firstLine="0"/>
        <w:spacing w:before="0" w:after="0" w:line="85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ПРОЧИЕ УСЛОВИЯ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Конечный пользователь соглашается, что Правообладатель и Оператор услуги вправе привлекать третьих лиц для обработки заявок на подключение, в которых указывается адрес и номер мобильного телефона Конечного пользователя;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Конечный пользователь несет личную ответственность за предоставленный доступ по своим Адресам, посредствам Электронных ключей, Ключей-приглашений и функционала Генерации ключа;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Конечный пользователь соглашается соблюдать Законодательство Российской Федерации и не совершать противоправных действий, связанных с использованием ПП прямо или косвенно;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Конечным пользователям запрещается использовать ненормативную лексику или оскорблять других Конечных пользователей при использовании Чатов, Видео или Аудио вызовов или распространять тексты, материалы способные оскорбить других Конечных пользователей или п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ротиворечат УК РФ;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Правообладатель и Оператор услуги вправе отказать Конечному пользователю в предоставлении услуг, заблокировав его учетную запись в случае нарушения настоящего соглашения УК РФ или Гражданского кодекса РФ.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В случае выявления противоправных действий, по запросу контролирующих или правоохранительных органов Персональные данные Конечного пользователя и данные о использовании им ПП будут переданы в соответствующие Законодательству Российской Федерации органы;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Настоящим соглашением Конечный пользователь подтверждает, что ознакомлен и уведомлен, что имеет индивидуальную ответственность за собственные действия с ПП, а функционал ПП прямо равен реальным действия с доступом на территорию. Выдача Электронного ключа,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ключа-приглашения, генерации ключа равняется физического доступа человеку на привязанные к Электронному ключа Адреса и имеет равносильные последствия;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Правообладатель и Оператор услуги не несут ответственности за использование Конечными пользователями функционала ПП, предоставленным ими в рамках ПП доступами и совершенными действиями;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Конечный пользователь настоящим подтверждает и гарантирует Правообладателю, что он не является потребителем в смысле, придаваемом этому термину Законом РФ No 2300-1 от «07» февраля 1992 года «О защите прав потребителей»;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Правообладатель вправе самостоятельно или с привлечением третьих лиц любыми не противоречащими закону способами контролировать использование ПП Конечным пользователем на предмет соблюдения последним условий и ограничений настоящего Соглашения;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Правообладатель в любом случае предоставляет Конечному пользователю ПП "как есть". Правообладатель не гарантирует, что ПП не содержит ошибок, а также не несет ответственности за прямые или косвенные убытки (ущерб) Конечного пользователя или любых иных трет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ьих лиц, включая, но не ограничиваясь: упущенную выгоду, имущественные потери, потерю конфиденциальной информации, возникшие у Конечного пользователя или любых иных третьих лиц в результате применения ПП, в том числе из-за возможных ошибок или опечаток в П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П.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Правообладатель не гарантирует, что ПП будет соответствовать требованиям Конечного пользователя, а также не гарантирует работоспособность ПП совместно с другим программным обеспечением и оборудованием других изготовителей.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Настоящее Соглашение подлежит опубликованию в Мобильном приложении. Условия настоящего Соглашения могут быть изменены Правообладателем в одностороннем внесудебном порядке путем опубликования новой редакции Соглашения в Мобильном приложении. При этом новые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условия настоящего Соглашения вступают в силу с даты, следующей за датой публикации новой редакции Соглашения.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Правообладатель вправе в одностороннем порядке отказаться от исполнения настоящего Соглашения в любое время уведомив об этом Конечного пользователя в случае нарушения последним условий настоящего Соглашения.</w:t>
      </w:r>
      <w:r>
        <w:rPr>
          <w:color w:val="000000" w:themeColor="text1"/>
        </w:rPr>
      </w:r>
    </w:p>
    <w:p>
      <w:pPr>
        <w:pStyle w:val="834"/>
        <w:numPr>
          <w:ilvl w:val="0"/>
          <w:numId w:val="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Настоящее Соглашение действует в течение срока использования Конечным пользователем ПП/Мобильного приложения и распространяется на все последующие </w:t>
      </w:r>
      <w:r>
        <w:rPr>
          <w:rFonts w:ascii="Liberation Sans" w:hAnsi="Liberation Sans" w:eastAsia="Liberation Sans" w:cs="Liberation Sans"/>
          <w:color w:val="ffffff"/>
        </w:rPr>
        <w:t xml:space="preserve">обновления/новые версии ПП.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Lovit Lovit</cp:lastModifiedBy>
  <cp:revision>2</cp:revision>
  <dcterms:modified xsi:type="dcterms:W3CDTF">2024-08-05T13:21:57Z</dcterms:modified>
</cp:coreProperties>
</file>