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16B3" w14:textId="77777777" w:rsidR="004C1AE5" w:rsidRDefault="00000000">
      <w:pPr>
        <w:pBdr>
          <w:top w:val="none" w:sz="4" w:space="0" w:color="000000"/>
          <w:left w:val="none" w:sz="4" w:space="0" w:color="000000"/>
          <w:bottom w:val="none" w:sz="4" w:space="0" w:color="000000"/>
          <w:right w:val="none" w:sz="4" w:space="0" w:color="000000"/>
        </w:pBdr>
        <w:spacing w:after="0" w:line="85" w:lineRule="atLeast"/>
        <w:rPr>
          <w:color w:val="000000" w:themeColor="text1"/>
        </w:rPr>
      </w:pPr>
      <w:r>
        <w:rPr>
          <w:color w:val="000000" w:themeColor="text1"/>
          <w:sz w:val="24"/>
        </w:rPr>
        <w:t>СОГЛАШЕНИЕ С КОНЕЧНЫМ ПОЛЬЗОВАТЕЛЕМ</w:t>
      </w:r>
    </w:p>
    <w:p w14:paraId="5BFD7B5C" w14:textId="77777777" w:rsidR="004C1AE5" w:rsidRDefault="00000000">
      <w:pPr>
        <w:pBdr>
          <w:top w:val="none" w:sz="4" w:space="0" w:color="000000"/>
          <w:left w:val="none" w:sz="4" w:space="0" w:color="000000"/>
          <w:bottom w:val="none" w:sz="4" w:space="0" w:color="000000"/>
          <w:right w:val="none" w:sz="4" w:space="0" w:color="000000"/>
        </w:pBdr>
        <w:spacing w:after="0" w:line="85" w:lineRule="atLeast"/>
        <w:rPr>
          <w:color w:val="000000" w:themeColor="text1"/>
        </w:rPr>
      </w:pPr>
      <w:r>
        <w:rPr>
          <w:color w:val="000000" w:themeColor="text1"/>
        </w:rPr>
        <w:t>Москва, 21.07.2025 г.</w:t>
      </w:r>
    </w:p>
    <w:p w14:paraId="26726A51" w14:textId="77777777" w:rsidR="004C1AE5" w:rsidRDefault="00000000">
      <w:pPr>
        <w:pBdr>
          <w:top w:val="none" w:sz="4" w:space="0" w:color="000000"/>
          <w:left w:val="none" w:sz="4" w:space="0" w:color="000000"/>
          <w:bottom w:val="none" w:sz="4" w:space="0" w:color="000000"/>
          <w:right w:val="none" w:sz="4" w:space="0" w:color="000000"/>
        </w:pBdr>
        <w:spacing w:after="0" w:line="85" w:lineRule="atLeast"/>
        <w:jc w:val="both"/>
        <w:rPr>
          <w:color w:val="000000" w:themeColor="text1"/>
        </w:rPr>
      </w:pPr>
      <w:r>
        <w:rPr>
          <w:color w:val="000000" w:themeColor="text1"/>
        </w:rPr>
        <w:t>Настоящее Соглашение (далее по тексту – Соглашение) представляет собой соглашение, заключаемое между Общество с ограниченной ответственностью "</w:t>
      </w:r>
      <w:proofErr w:type="spellStart"/>
      <w:r>
        <w:rPr>
          <w:color w:val="000000" w:themeColor="text1"/>
        </w:rPr>
        <w:t>АйТИМаркет</w:t>
      </w:r>
      <w:proofErr w:type="spellEnd"/>
      <w:r>
        <w:rPr>
          <w:color w:val="000000" w:themeColor="text1"/>
        </w:rPr>
        <w:t>" (далее по тексту – Правообладатель/Оператор услуги), являющимся обладателем исключительных прав на Программный продукт «DOMONAP» (далее по тексту – ПП), и Конечным пользователем, совместно именуются Стороны, а по отдельности – Сторона. Если Конечный пользователь не согласен принять на себя условия настоящего Соглашения, то он не имеет права использовать ПП. Осуществляя действия по установке Мобильного приложения, Конечный пользователь подтверждает свое полное и безоговорочное согласие со всеми условиями настоящего Соглашения и обязуется их соблюдать.</w:t>
      </w:r>
    </w:p>
    <w:p w14:paraId="619A6161" w14:textId="2EFF66FF"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Оператор услуги</w:t>
      </w:r>
      <w:r>
        <w:rPr>
          <w:color w:val="000000" w:themeColor="text1"/>
          <w:sz w:val="24"/>
        </w:rPr>
        <w:t> </w:t>
      </w:r>
      <w:r>
        <w:rPr>
          <w:color w:val="000000" w:themeColor="text1"/>
        </w:rPr>
        <w:t>– "</w:t>
      </w:r>
      <w:proofErr w:type="spellStart"/>
      <w:r>
        <w:rPr>
          <w:color w:val="000000" w:themeColor="text1"/>
        </w:rPr>
        <w:t>АйТИМаркет</w:t>
      </w:r>
      <w:proofErr w:type="spellEnd"/>
      <w:proofErr w:type="gramStart"/>
      <w:r>
        <w:rPr>
          <w:color w:val="000000" w:themeColor="text1"/>
        </w:rPr>
        <w:t>";</w:t>
      </w:r>
      <w:r w:rsidRPr="00F11415">
        <w:rPr>
          <w:b/>
          <w:bCs/>
          <w:color w:val="000000" w:themeColor="text1"/>
        </w:rPr>
        <w:t>Программный</w:t>
      </w:r>
      <w:proofErr w:type="gramEnd"/>
      <w:r w:rsidRPr="00F11415">
        <w:rPr>
          <w:b/>
          <w:bCs/>
          <w:color w:val="000000" w:themeColor="text1"/>
        </w:rPr>
        <w:t xml:space="preserve"> продукт (ПП)</w:t>
      </w:r>
      <w:r>
        <w:rPr>
          <w:color w:val="000000" w:themeColor="text1"/>
          <w:sz w:val="24"/>
        </w:rPr>
        <w:t> </w:t>
      </w:r>
      <w:r>
        <w:rPr>
          <w:color w:val="000000" w:themeColor="text1"/>
        </w:rPr>
        <w:t>– программный комплекс «DOMONAP» - результат интеллектуальной деятельности, представляющий собой совокупность программного обеспечения (программ для ЭВМ), баз данных и иной информации, доступ к которому возможен посредством сети Интернет по доменному имени domonap.ru, с использованием Мобильного приложения или веб-браузера;</w:t>
      </w:r>
    </w:p>
    <w:p w14:paraId="7A96BFFE"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Мобильное приложение</w:t>
      </w:r>
      <w:r>
        <w:rPr>
          <w:color w:val="000000" w:themeColor="text1"/>
          <w:sz w:val="24"/>
        </w:rPr>
        <w:t> </w:t>
      </w:r>
      <w:r>
        <w:rPr>
          <w:color w:val="000000" w:themeColor="text1"/>
        </w:rPr>
        <w:t>- программа для Мобильных устройств, существующая в нескольких версиях (каждая из которых обладает аналогичными свойствами и функциями) и доступная для бесплатной установки на мобильные устройства через специализированные сервисы, такие как «Google Play», «Apple Store» или иные подобные сервисы. Версии Мобильного приложения могут иметь отличия, обусловленные различиями операционных систем мобильных устройств, для установки на которые они предназначены.</w:t>
      </w:r>
    </w:p>
    <w:p w14:paraId="045079D9"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Домофон</w:t>
      </w:r>
      <w:r>
        <w:rPr>
          <w:color w:val="000000" w:themeColor="text1"/>
          <w:sz w:val="24"/>
        </w:rPr>
        <w:t> </w:t>
      </w:r>
      <w:r>
        <w:rPr>
          <w:color w:val="000000" w:themeColor="text1"/>
        </w:rPr>
        <w:t>– устанавливаемая в жилом доме Конечного пользователя электронная система ограниченного доступа, устанавливаемая на входе в жилой дом, блока управления. Домофон может быть оснащен и/или дополнен любыми устройствами и системами, такими как дополнительные камеры наблюдения, система управления шлагбаумом, находящимся при въезде на придомовую территорию, придомовое видеонаблюдение и т.п.</w:t>
      </w:r>
    </w:p>
    <w:p w14:paraId="1E5F3600"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Квартира</w:t>
      </w:r>
      <w:r>
        <w:rPr>
          <w:color w:val="000000" w:themeColor="text1"/>
          <w:sz w:val="24"/>
        </w:rPr>
        <w:t> </w:t>
      </w:r>
      <w:r>
        <w:rPr>
          <w:color w:val="000000" w:themeColor="text1"/>
        </w:rPr>
        <w:t>– жилое помещение, расположенное в многоквартирном доме или доме, который оборудован Домофоном, принадлежащей Конечному пользователю на праве собственности или на ином законном основании.</w:t>
      </w:r>
    </w:p>
    <w:p w14:paraId="45A7725F"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Адрес</w:t>
      </w:r>
      <w:r>
        <w:rPr>
          <w:color w:val="000000" w:themeColor="text1"/>
          <w:sz w:val="24"/>
        </w:rPr>
        <w:t> </w:t>
      </w:r>
      <w:r>
        <w:rPr>
          <w:color w:val="000000" w:themeColor="text1"/>
        </w:rPr>
        <w:t xml:space="preserve">– Фактический адрес. Где расположена Квартира. Имеет </w:t>
      </w:r>
      <w:proofErr w:type="gramStart"/>
      <w:r>
        <w:rPr>
          <w:color w:val="000000" w:themeColor="text1"/>
        </w:rPr>
        <w:t>формат:-</w:t>
      </w:r>
      <w:proofErr w:type="gramEnd"/>
      <w:r>
        <w:rPr>
          <w:color w:val="000000" w:themeColor="text1"/>
        </w:rPr>
        <w:t xml:space="preserve"> Индекс, Страна, Область, Город, Улица, Дом, Корпус/Строение, Подъезд, Квартира; Конечный пользователь отправляет Оператору услуги Заявку на присоединения, для доступа к возможностям ПП по указанному адресу и получения статуса Жильца по указанному в Заявке на присоединение адреса;</w:t>
      </w:r>
    </w:p>
    <w:p w14:paraId="43DB6E38"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Конечный пользователь</w:t>
      </w:r>
      <w:r>
        <w:rPr>
          <w:color w:val="000000" w:themeColor="text1"/>
          <w:sz w:val="24"/>
        </w:rPr>
        <w:t> </w:t>
      </w:r>
      <w:r>
        <w:rPr>
          <w:color w:val="000000" w:themeColor="text1"/>
        </w:rPr>
        <w:t>– это физическое или юридическое лицо, использующее ПП способами, определенными настоящим Соглашением, без права передачи прав на использование ПП третьим лицам;</w:t>
      </w:r>
    </w:p>
    <w:p w14:paraId="54202DAA" w14:textId="77777777" w:rsidR="004C1AE5" w:rsidRDefault="00000000" w:rsidP="00F11415">
      <w:pPr>
        <w:pStyle w:val="af9"/>
        <w:pBdr>
          <w:top w:val="none" w:sz="4" w:space="0" w:color="000000"/>
          <w:left w:val="none" w:sz="4" w:space="0" w:color="000000"/>
          <w:bottom w:val="none" w:sz="4" w:space="0" w:color="000000"/>
          <w:right w:val="none" w:sz="4" w:space="0" w:color="000000"/>
        </w:pBdr>
        <w:spacing w:after="0"/>
        <w:ind w:left="709"/>
        <w:jc w:val="both"/>
        <w:rPr>
          <w:color w:val="000000" w:themeColor="text1"/>
        </w:rPr>
      </w:pPr>
      <w:r w:rsidRPr="00F11415">
        <w:rPr>
          <w:b/>
          <w:bCs/>
          <w:color w:val="000000" w:themeColor="text1"/>
        </w:rPr>
        <w:t>Оператор персональных данных</w:t>
      </w:r>
      <w:r>
        <w:rPr>
          <w:color w:val="000000" w:themeColor="text1"/>
        </w:rPr>
        <w:t xml:space="preserve"> – управляющая организация, с которой у Конечного пользователя заключен договор управления многоквартирным домом,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85A60B6" w14:textId="35DE1220"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Обработчик персональных данных</w:t>
      </w:r>
      <w:r>
        <w:rPr>
          <w:color w:val="000000" w:themeColor="text1"/>
        </w:rPr>
        <w:t xml:space="preserve"> – лицо, осуществляющее обработку персональных данных по поручению Оператора персональных данных в соответствии с  ч. 3 ст. 6 Федерального закона "О персональных данных" от 27.07.2006 № 152-ФЗ, привлекаемое Оператором персональных данных </w:t>
      </w:r>
      <w:r>
        <w:t>для обеспечения функционирования ПП и предоставления Конечному пользователю возможности использования ПП</w:t>
      </w:r>
      <w:r>
        <w:rPr>
          <w:color w:val="000000" w:themeColor="text1"/>
        </w:rPr>
        <w:t xml:space="preserve">. </w:t>
      </w:r>
      <w:r w:rsidRPr="00F11415">
        <w:rPr>
          <w:b/>
          <w:bCs/>
          <w:color w:val="000000" w:themeColor="text1"/>
        </w:rPr>
        <w:t>Последующий обработчик персональных данных</w:t>
      </w:r>
      <w:r w:rsidRPr="00F11415">
        <w:rPr>
          <w:color w:val="000000" w:themeColor="text1"/>
        </w:rPr>
        <w:t xml:space="preserve"> – </w:t>
      </w:r>
      <w:r>
        <w:t>правообладатель ПП либо иное лицо, привлекаемое Обработчиком персональных данных в соответствии с законодательством Российской Федерации и договорными отношениями между ними для обеспечения функционирования ПП</w:t>
      </w:r>
      <w:r w:rsidRPr="00F11415">
        <w:rPr>
          <w:color w:val="000000" w:themeColor="text1"/>
        </w:rPr>
        <w:t xml:space="preserve">  </w:t>
      </w:r>
      <w:r>
        <w:rPr>
          <w:color w:val="000000" w:themeColor="text1"/>
        </w:rPr>
        <w:t xml:space="preserve">. </w:t>
      </w:r>
      <w:r w:rsidRPr="00F11415">
        <w:rPr>
          <w:b/>
          <w:bCs/>
          <w:color w:val="000000" w:themeColor="text1"/>
        </w:rPr>
        <w:t>Заявка присоединения</w:t>
      </w:r>
      <w:r>
        <w:rPr>
          <w:color w:val="000000" w:themeColor="text1"/>
          <w:sz w:val="24"/>
        </w:rPr>
        <w:t> </w:t>
      </w:r>
      <w:r>
        <w:rPr>
          <w:color w:val="000000" w:themeColor="text1"/>
        </w:rPr>
        <w:t>- форма обратной связи с Оператором услуги на подключение Квартиры Конечного пользователя к ПП;</w:t>
      </w:r>
    </w:p>
    <w:p w14:paraId="0E3CDF71"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Жилец</w:t>
      </w:r>
      <w:r>
        <w:rPr>
          <w:color w:val="000000" w:themeColor="text1"/>
          <w:sz w:val="24"/>
        </w:rPr>
        <w:t> </w:t>
      </w:r>
      <w:r>
        <w:rPr>
          <w:color w:val="000000" w:themeColor="text1"/>
        </w:rPr>
        <w:t xml:space="preserve">- Конечный пользователь, воспользовавшийся Заявкой присоединения, подтвердивший свой Адрес и выступающий в роли Конечного пользователя, который </w:t>
      </w:r>
      <w:r>
        <w:rPr>
          <w:color w:val="000000" w:themeColor="text1"/>
        </w:rPr>
        <w:lastRenderedPageBreak/>
        <w:t>управляет доступом по своему Адресу, принимает гостей и использует функционал доступный только Конечным пользователям, подавшим Заявку присоединения и подтвердившим свой Адрес;</w:t>
      </w:r>
    </w:p>
    <w:p w14:paraId="5054A3CD"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Гость</w:t>
      </w:r>
      <w:r>
        <w:rPr>
          <w:color w:val="000000" w:themeColor="text1"/>
          <w:sz w:val="24"/>
        </w:rPr>
        <w:t> </w:t>
      </w:r>
      <w:r>
        <w:rPr>
          <w:color w:val="000000" w:themeColor="text1"/>
        </w:rPr>
        <w:t>- Конечный пользователь, как подавший Заявку присоединение и подтвердивший свой Адрес, так и не имеющий подтвержденного Адреса. Гость посещает Адреса других Конечных пользователей и использует функционал ПП для вызова Жильцов с просьбой обеспечить ему доступ на Адрес или использует Ключ-приглашение, заранее созданный для него Жильцом;</w:t>
      </w:r>
    </w:p>
    <w:p w14:paraId="5A1CE0B0"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Электронный ключ</w:t>
      </w:r>
      <w:r>
        <w:rPr>
          <w:color w:val="000000" w:themeColor="text1"/>
          <w:sz w:val="24"/>
        </w:rPr>
        <w:t> </w:t>
      </w:r>
      <w:r>
        <w:rPr>
          <w:color w:val="000000" w:themeColor="text1"/>
        </w:rPr>
        <w:t>– функциональная возможность ПП, реализующая возможность фактического управления доступом по Адресу. Используя программную возможность Электронный ключ Конечный пользователь открывает запирающее устройство, установленное на двери подъезда, калитке, шлагбауме или другой системе контроля доступа. Электронный ключ Конечный пользователь получает после отправки Оператору услуги Заявки на присоединение и подтверждения Адреса. Пользователь несет полную личную ответственность используя Электронный ключ за доступ в подъезд;</w:t>
      </w:r>
    </w:p>
    <w:p w14:paraId="20E4AB63" w14:textId="39BD5026"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Ключ-приглашение</w:t>
      </w:r>
      <w:r>
        <w:rPr>
          <w:color w:val="000000" w:themeColor="text1"/>
          <w:sz w:val="24"/>
        </w:rPr>
        <w:t> </w:t>
      </w:r>
      <w:r>
        <w:rPr>
          <w:color w:val="000000" w:themeColor="text1"/>
        </w:rPr>
        <w:t xml:space="preserve">– является Электронным ключом, который Жилец, посредством функционала ПП, направляет Гостю, предоставляя ему временную возможность управлять доступом по Адресу Жильца. Жилец несет полную личную ответственность за выданные им Ключи-приглашения, а Гость несет полную личную ответственность </w:t>
      </w:r>
      <w:proofErr w:type="gramStart"/>
      <w:r>
        <w:rPr>
          <w:color w:val="000000" w:themeColor="text1"/>
        </w:rPr>
        <w:t>за действия</w:t>
      </w:r>
      <w:proofErr w:type="gramEnd"/>
      <w:r>
        <w:rPr>
          <w:color w:val="000000" w:themeColor="text1"/>
        </w:rPr>
        <w:t xml:space="preserve"> совершенные им на территории Адреса, где им был получен доступ;</w:t>
      </w:r>
    </w:p>
    <w:p w14:paraId="7F8FBA92"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Генерация ключа</w:t>
      </w:r>
      <w:r>
        <w:rPr>
          <w:color w:val="000000" w:themeColor="text1"/>
          <w:sz w:val="24"/>
        </w:rPr>
        <w:t> </w:t>
      </w:r>
      <w:r>
        <w:rPr>
          <w:color w:val="000000" w:themeColor="text1"/>
        </w:rPr>
        <w:t>– функциональная возможность ПП, реализующая возможность создания Электронного ключа и подтверждения Адреса минуя Заявку присоединения. Позволяет Жильцу подтвердить Адрес своего соседа в рамках одного подъезда. Жилец, используя функциональную возможность, генерировать ключ, берет на себя полную ответственность за предоставленный третьему лицу доступ и корректность его данных и Адреса (Квартиры);</w:t>
      </w:r>
    </w:p>
    <w:p w14:paraId="47F5696D" w14:textId="77777777" w:rsidR="004C1AE5" w:rsidRDefault="00000000" w:rsidP="00F11415">
      <w:pPr>
        <w:pStyle w:val="af9"/>
        <w:numPr>
          <w:ilvl w:val="0"/>
          <w:numId w:val="1"/>
        </w:numPr>
        <w:pBdr>
          <w:top w:val="none" w:sz="4" w:space="0" w:color="000000"/>
          <w:left w:val="none" w:sz="4" w:space="0" w:color="000000"/>
          <w:bottom w:val="none" w:sz="4" w:space="0" w:color="000000"/>
          <w:right w:val="none" w:sz="4" w:space="0" w:color="000000"/>
        </w:pBdr>
        <w:spacing w:after="0"/>
        <w:jc w:val="both"/>
        <w:rPr>
          <w:color w:val="000000" w:themeColor="text1"/>
        </w:rPr>
      </w:pPr>
      <w:r w:rsidRPr="00F11415">
        <w:rPr>
          <w:b/>
          <w:bCs/>
          <w:color w:val="000000" w:themeColor="text1"/>
        </w:rPr>
        <w:t>Чат</w:t>
      </w:r>
      <w:r>
        <w:rPr>
          <w:color w:val="000000" w:themeColor="text1"/>
        </w:rPr>
        <w:t>- функциональная возможность ПП, позволяющая Жильцами общаться в формате электронный переписки и отправлять изображения (фото). Представлены в виде групповых Чатов, объединяющих всех Жильцов с подтвержденным Адресом в одном подъезде и персональный чаты, между Жильцами одной Квартиры с Жителями другой Квартиры, в рамках подтвержденного Адреса в одном подъезде.</w:t>
      </w:r>
    </w:p>
    <w:p w14:paraId="2CDA5423" w14:textId="77777777" w:rsidR="004C1AE5" w:rsidRDefault="00000000" w:rsidP="00F11415">
      <w:pPr>
        <w:pBdr>
          <w:top w:val="none" w:sz="4" w:space="0" w:color="000000"/>
          <w:left w:val="none" w:sz="4" w:space="0" w:color="000000"/>
          <w:bottom w:val="none" w:sz="4" w:space="0" w:color="000000"/>
          <w:right w:val="none" w:sz="4" w:space="0" w:color="000000"/>
        </w:pBdr>
        <w:spacing w:after="0" w:line="85" w:lineRule="atLeast"/>
        <w:jc w:val="both"/>
        <w:rPr>
          <w:color w:val="000000" w:themeColor="text1"/>
        </w:rPr>
      </w:pPr>
      <w:r>
        <w:rPr>
          <w:color w:val="000000" w:themeColor="text1"/>
          <w:sz w:val="24"/>
        </w:rPr>
        <w:t>СПОСОБЫ ИСПОЛЬЗОВАНИЯ ПП</w:t>
      </w:r>
    </w:p>
    <w:p w14:paraId="4EDA9EE0" w14:textId="77777777" w:rsidR="004C1AE5" w:rsidRDefault="00000000" w:rsidP="00F11415">
      <w:pPr>
        <w:pBdr>
          <w:top w:val="none" w:sz="4" w:space="0" w:color="000000"/>
          <w:left w:val="none" w:sz="4" w:space="0" w:color="000000"/>
          <w:bottom w:val="none" w:sz="4" w:space="0" w:color="000000"/>
          <w:right w:val="none" w:sz="4" w:space="0" w:color="000000"/>
        </w:pBdr>
        <w:spacing w:after="0" w:line="85" w:lineRule="atLeast"/>
        <w:jc w:val="both"/>
        <w:rPr>
          <w:color w:val="000000" w:themeColor="text1"/>
        </w:rPr>
      </w:pPr>
      <w:r>
        <w:rPr>
          <w:color w:val="000000" w:themeColor="text1"/>
        </w:rPr>
        <w:t>Если иное не установлено Соглашением, то Конечный пользователь вправе использовать ПП следующим образом:</w:t>
      </w:r>
    </w:p>
    <w:p w14:paraId="340DE140"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Доступность возможностей и услуг в приложении устанавливает Оператор услуги, предоставляющий услугу по адресу расположения Квартиры Конечного пользователя;</w:t>
      </w:r>
    </w:p>
    <w:p w14:paraId="138720FB"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Размещение в Мобильном приложении заявки на присоединение Квартиры и подтверждение Адреса, принадлежащей Конечному пользователю на праве собственности или на ином законном основании, к ПП и получения статуса Жильца;</w:t>
      </w:r>
    </w:p>
    <w:p w14:paraId="4208F0A9"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Просмотр видео в режиме реального времени в процессе совершаемых между Конечными пользователями видео-вызовов;</w:t>
      </w:r>
    </w:p>
    <w:p w14:paraId="6C055510"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Использование аудио-вызовов в режиме реального времени в процессе совершаемых между Конечными пользователями аудио-вызовов;</w:t>
      </w:r>
    </w:p>
    <w:p w14:paraId="239D4691"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Активация (инициация) открытия подключенных к ПП магнитных замков, шлагбаумов, калиток, ворот и прочих объектов посредствам Электронных ключей и Ключей-приглашений;</w:t>
      </w:r>
    </w:p>
    <w:p w14:paraId="63A8F6F9"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Прием вызова с от Гостей в Мобильном приложении и диалог с вызывающим Конечными пользователями;</w:t>
      </w:r>
    </w:p>
    <w:p w14:paraId="6417A78A"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Осуществлять переписку с другими Жильцами посредствам онлайн групповых и индивидуальных Чатов, в рамках одного подъезда;</w:t>
      </w:r>
    </w:p>
    <w:p w14:paraId="7A834759"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Использовать ПП для посещения других адресов, не являющихся Адресом Квартиры, указанной Конечным пользователем в заявке присоединения в качестве Гостя;</w:t>
      </w:r>
    </w:p>
    <w:p w14:paraId="195528F4"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Использовать ПП для вызова других Конечных пользователей (Жильцов) по средствам видеодомофона, по адресам не являющихся Адресом Квартиры, указанной Конечным пользователем в заявке присоединения, где он имеет статус Жилец;</w:t>
      </w:r>
    </w:p>
    <w:p w14:paraId="7310E9C9"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lastRenderedPageBreak/>
        <w:t>Отправлять другим Конечным пользователям Ключи-приглашения, являющиеся полноценным правом доступа на выбранные пользователем Адреса, другим пользователям, являющимися Гостями и не проживающими по Адресу, указанному Конечным пользователем в заявке присоединения;</w:t>
      </w:r>
    </w:p>
    <w:p w14:paraId="6AE5B95B"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Использовать иной доступный функционал, включенный в Мобильное приложение, только для Квартиры, указанной Конечным пользователем в заявке присоединения, согласно п. 2.1.1 настоящего Соглашения.</w:t>
      </w:r>
    </w:p>
    <w:p w14:paraId="0A04C349" w14:textId="77777777" w:rsidR="004C1AE5" w:rsidRDefault="00000000" w:rsidP="00F11415">
      <w:pPr>
        <w:pStyle w:val="af9"/>
        <w:numPr>
          <w:ilvl w:val="0"/>
          <w:numId w:val="2"/>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Конечный пользователь не вправе использовать Программный продукт и совершать действия, прямо не предусмотренные настоящим Соглашением и/или Мобильным приложением</w:t>
      </w:r>
    </w:p>
    <w:p w14:paraId="73C4784C" w14:textId="77777777" w:rsidR="004C1AE5" w:rsidRDefault="00000000" w:rsidP="00F11415">
      <w:pPr>
        <w:pBdr>
          <w:top w:val="none" w:sz="4" w:space="0" w:color="000000"/>
          <w:left w:val="none" w:sz="4" w:space="0" w:color="000000"/>
          <w:bottom w:val="none" w:sz="4" w:space="0" w:color="000000"/>
          <w:right w:val="none" w:sz="4" w:space="0" w:color="000000"/>
        </w:pBdr>
        <w:spacing w:after="0" w:line="85" w:lineRule="atLeast"/>
        <w:jc w:val="both"/>
        <w:rPr>
          <w:color w:val="000000" w:themeColor="text1"/>
        </w:rPr>
      </w:pPr>
      <w:r>
        <w:rPr>
          <w:color w:val="000000" w:themeColor="text1"/>
        </w:rPr>
        <w:t>ПРОЧИЕ УСЛОВИЯ</w:t>
      </w:r>
    </w:p>
    <w:p w14:paraId="5347DEF7"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Конечный пользователь соглашается, что Правообладатель и Оператор услуги вправе привлекать третьих лиц для обработки заявок на подключение, в которых указывается адрес и номер мобильного телефона Конечного пользователя;</w:t>
      </w:r>
    </w:p>
    <w:p w14:paraId="07417E2E"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Конечный пользователь несет личную ответственность за предоставленный доступ по своим Адресам, посредствам Электронных ключей, Ключей-приглашений и функционала Генерации ключа;</w:t>
      </w:r>
    </w:p>
    <w:p w14:paraId="76925305"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Конечный пользователь соглашается соблюдать Законодательство Российской Федерации и не совершать противоправных действий, связанных с использованием ПП прямо или косвенно;</w:t>
      </w:r>
    </w:p>
    <w:p w14:paraId="6687DC60"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Конечным пользователям запрещается использовать ненормативную лексику или оскорблять других Конечных пользователей при использовании Чатов, Видео или Аудио вызовов или распространять тексты, материалы способные оскорбить других Конечных пользователей или противоречат УК РФ;</w:t>
      </w:r>
    </w:p>
    <w:p w14:paraId="051E4EEE"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и Оператор услуги вправе отказать Конечному пользователю в предоставлении услуг, заблокировав его учетную запись в случае нарушения настоящего соглашения УК РФ или Гражданского кодекса РФ.</w:t>
      </w:r>
    </w:p>
    <w:p w14:paraId="76C6C431"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 xml:space="preserve">В рамках предоставления услуг Конечному пользователю осуществляется обработка его персональных данных. Оператором персональных данных в рамках п. 2 ст. 3 Федерального закона "О персональных данных" от 27.07.2006 № 152-ФЗ является управляющая организация по смыслу п. 3 ч. 2 ст. 161 Жилищного кодекса РФ, с которой у Конечного пользователя заключен договор управления многоквартирным домом. </w:t>
      </w:r>
    </w:p>
    <w:p w14:paraId="346FC6A9" w14:textId="0A171E61"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 xml:space="preserve">В рамках предоставления услуг Конечному пользователю посредством использования </w:t>
      </w:r>
      <w:proofErr w:type="gramStart"/>
      <w:r>
        <w:rPr>
          <w:color w:val="000000" w:themeColor="text1"/>
        </w:rPr>
        <w:t>ПП  обработка</w:t>
      </w:r>
      <w:proofErr w:type="gramEnd"/>
      <w:r>
        <w:rPr>
          <w:color w:val="000000" w:themeColor="text1"/>
        </w:rPr>
        <w:t xml:space="preserve"> персональных данных осуществляется  Обработчиком персональных данных), который, на основании поручения  Оператора персональных данных обеспечивает </w:t>
      </w:r>
      <w:proofErr w:type="spellStart"/>
      <w:r>
        <w:rPr>
          <w:color w:val="000000" w:themeColor="text1"/>
        </w:rPr>
        <w:t>функционирвоание</w:t>
      </w:r>
      <w:proofErr w:type="spellEnd"/>
      <w:r>
        <w:rPr>
          <w:color w:val="000000" w:themeColor="text1"/>
        </w:rPr>
        <w:t xml:space="preserve"> ПП и предоставляет возможность его использования Конечным пользователем. </w:t>
      </w:r>
    </w:p>
    <w:p w14:paraId="0D8FBE9A" w14:textId="738FBE9D"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t>Правообладателем ПП является Оператор услуги. Использование ПП Обработчиком персональных данных осуществляется на законных основаниях в соответствии с заключенными между указанными лицами договорами. Оператор услуги обеспечивает функционирование и сопровождение ПП.</w:t>
      </w:r>
    </w:p>
    <w:p w14:paraId="5E8FD117" w14:textId="300D84B3"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 xml:space="preserve">Правообладатель и Оператор услуги </w:t>
      </w:r>
      <w:proofErr w:type="gramStart"/>
      <w:r>
        <w:rPr>
          <w:color w:val="000000" w:themeColor="text1"/>
        </w:rPr>
        <w:t>при  предоставлении</w:t>
      </w:r>
      <w:proofErr w:type="gramEnd"/>
      <w:r>
        <w:rPr>
          <w:color w:val="000000" w:themeColor="text1"/>
        </w:rPr>
        <w:t xml:space="preserve"> услуги Конечному пользователю </w:t>
      </w:r>
      <w:r>
        <w:t>возможности использования ПП осуществляет обработку персональных данных в качестве Последующего обработчика персональных данных в интересах Оператора персональных данных в случаях и порядке, предусмотренных законодательством Российской Федерации и настоящим Соглашением.</w:t>
      </w:r>
      <w:r>
        <w:rPr>
          <w:color w:val="000000" w:themeColor="text1"/>
        </w:rPr>
        <w:t xml:space="preserve"> </w:t>
      </w:r>
    </w:p>
    <w:p w14:paraId="4E555392"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В случае выявления противоправных действий, по запросу контролирующих или правоохранительных органов Персональные данные Конечного пользователя и данные о использовании им ПП будут переданы в соответствующие Законодательству Российской Федерации органы;</w:t>
      </w:r>
    </w:p>
    <w:p w14:paraId="3A73D750"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 xml:space="preserve">Настоящим соглашением Конечный пользователь подтверждает, что ознакомлен и уведомлен, что имеет индивидуальную ответственность за собственные действия с ПП, а функционал ПП прямо равен реальным действия с доступом на территорию. Выдача Электронного ключа, ключа-приглашения, генерации ключа равняется физического доступа </w:t>
      </w:r>
      <w:r>
        <w:rPr>
          <w:color w:val="000000" w:themeColor="text1"/>
        </w:rPr>
        <w:lastRenderedPageBreak/>
        <w:t>человеку на привязанные к Электронному ключа Адреса и имеет равносильные последствия;</w:t>
      </w:r>
    </w:p>
    <w:p w14:paraId="0917F8A6"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и Оператор услуги не несут ответственности за использование Конечными пользователями функционала ПП, предоставленным ими в рамках ПП доступами и совершенными действиями;</w:t>
      </w:r>
    </w:p>
    <w:p w14:paraId="77AAB0F3"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Конечный пользователь настоящим подтверждает и гарантирует Правообладателю, что он не является потребителем в смысле, придаваемом этому термину Законом РФ No 2300-1 от «07» февраля 1992 года «О защите прав потребителей»;</w:t>
      </w:r>
    </w:p>
    <w:p w14:paraId="6A534067"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Используя ПП, Конечный пользователь соглашается с тем, что при возникновении у него задолженности за оплату жилищно-коммунальных услуг, а также за оплату услуг по управлению многоквартирным домом, его могут оповестить о наличии соответствующих задолженностей посредством оборудования домофона при входе с использованием ключа.</w:t>
      </w:r>
    </w:p>
    <w:p w14:paraId="5C23545E"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вправе самостоятельно или с привлечением третьих лиц любыми не противоречащими закону способами контролировать использование ПП Конечным пользователем на предмет соблюдения последним условий и ограничений настоящего Соглашения;</w:t>
      </w:r>
    </w:p>
    <w:p w14:paraId="52687B54"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в любом случае предоставляет Конечному пользователю ПП "как есть". Правообладатель не гарантирует, что ПП не содержит ошибок, а также не несет ответственности за прямые или косвенные убытки (ущерб) Конечного пользователя или любых иных третьих лиц, включая, но не ограничиваясь: упущенную выгоду, имущественные потери, потерю конфиденциальной информации, возникшие у Конечного пользователя или любых иных третьих лиц в результате применения ПП, в том числе из-за возможных ошибок или опечаток в ПП.</w:t>
      </w:r>
    </w:p>
    <w:p w14:paraId="0D5035E9"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не гарантирует, что ПП будет соответствовать требованиям Конечного пользователя, а также не гарантирует работоспособность ПП совместно с другим программным обеспечением и оборудованием других изготовителей.</w:t>
      </w:r>
    </w:p>
    <w:p w14:paraId="5930F0CD"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Настоящее Соглашение подлежит опубликованию в Мобильном приложении. 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в Мобильном приложении. При этом новые условия настоящего Соглашения вступают в силу с даты, следующей за датой публикации новой редакции Соглашения.</w:t>
      </w:r>
    </w:p>
    <w:p w14:paraId="4592DB6A"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rPr>
          <w:color w:val="000000" w:themeColor="text1"/>
        </w:rPr>
      </w:pPr>
      <w:r>
        <w:rPr>
          <w:color w:val="000000" w:themeColor="text1"/>
        </w:rPr>
        <w:t>Правообладатель вправе в одностороннем порядке отказаться от исполнения настоящего Соглашения в любое время уведомив об этом Конечного пользователя в случае нарушения последним условий настоящего Соглашения.</w:t>
      </w:r>
    </w:p>
    <w:p w14:paraId="2DF83D69" w14:textId="77777777" w:rsidR="004C1AE5" w:rsidRDefault="00000000" w:rsidP="00F11415">
      <w:pPr>
        <w:pStyle w:val="af9"/>
        <w:numPr>
          <w:ilvl w:val="0"/>
          <w:numId w:val="3"/>
        </w:numPr>
        <w:pBdr>
          <w:top w:val="none" w:sz="4" w:space="0" w:color="000000"/>
          <w:left w:val="none" w:sz="4" w:space="0" w:color="000000"/>
          <w:bottom w:val="none" w:sz="4" w:space="0" w:color="000000"/>
          <w:right w:val="none" w:sz="4" w:space="0" w:color="000000"/>
        </w:pBdr>
        <w:spacing w:after="0"/>
        <w:jc w:val="both"/>
      </w:pPr>
      <w:r>
        <w:rPr>
          <w:color w:val="000000" w:themeColor="text1"/>
        </w:rPr>
        <w:t xml:space="preserve">Настоящее Соглашение действует в течение срока использования Конечным пользователем ПП/Мобильного приложения и распространяется на все последующие </w:t>
      </w:r>
      <w:r>
        <w:rPr>
          <w:color w:val="FFFFFF"/>
        </w:rPr>
        <w:t>обновления/новые версии ПП.</w:t>
      </w:r>
    </w:p>
    <w:p w14:paraId="2758BF0F" w14:textId="77777777" w:rsidR="004C1AE5" w:rsidRDefault="004C1AE5"/>
    <w:sectPr w:rsidR="004C1A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170F" w14:textId="77777777" w:rsidR="00015D5F" w:rsidRDefault="00015D5F">
      <w:pPr>
        <w:spacing w:after="0" w:line="240" w:lineRule="auto"/>
      </w:pPr>
      <w:r>
        <w:separator/>
      </w:r>
    </w:p>
  </w:endnote>
  <w:endnote w:type="continuationSeparator" w:id="0">
    <w:p w14:paraId="5A9F5F53" w14:textId="77777777" w:rsidR="00015D5F" w:rsidRDefault="0001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14C" w14:textId="77777777" w:rsidR="00015D5F" w:rsidRDefault="00015D5F">
      <w:pPr>
        <w:spacing w:after="0" w:line="240" w:lineRule="auto"/>
      </w:pPr>
      <w:r>
        <w:separator/>
      </w:r>
    </w:p>
  </w:footnote>
  <w:footnote w:type="continuationSeparator" w:id="0">
    <w:p w14:paraId="3FB715C0" w14:textId="77777777" w:rsidR="00015D5F" w:rsidRDefault="0001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C0F19"/>
    <w:multiLevelType w:val="hybridMultilevel"/>
    <w:tmpl w:val="E44011FA"/>
    <w:lvl w:ilvl="0" w:tplc="0C103DD4">
      <w:start w:val="1"/>
      <w:numFmt w:val="bullet"/>
      <w:lvlText w:val="·"/>
      <w:lvlJc w:val="left"/>
      <w:pPr>
        <w:ind w:left="709" w:hanging="360"/>
      </w:pPr>
      <w:rPr>
        <w:rFonts w:ascii="Symbol" w:eastAsia="Symbol" w:hAnsi="Symbol" w:cs="Symbol" w:hint="default"/>
        <w:color w:val="FFFFFF"/>
      </w:rPr>
    </w:lvl>
    <w:lvl w:ilvl="1" w:tplc="78AA8D32">
      <w:start w:val="1"/>
      <w:numFmt w:val="bullet"/>
      <w:lvlText w:val="·"/>
      <w:lvlJc w:val="left"/>
      <w:pPr>
        <w:ind w:left="1429" w:hanging="360"/>
      </w:pPr>
      <w:rPr>
        <w:rFonts w:ascii="Symbol" w:eastAsia="Symbol" w:hAnsi="Symbol" w:cs="Symbol" w:hint="default"/>
        <w:color w:val="FFFFFF"/>
      </w:rPr>
    </w:lvl>
    <w:lvl w:ilvl="2" w:tplc="19E6D7C6">
      <w:start w:val="1"/>
      <w:numFmt w:val="bullet"/>
      <w:lvlText w:val="·"/>
      <w:lvlJc w:val="left"/>
      <w:pPr>
        <w:ind w:left="2149" w:hanging="360"/>
      </w:pPr>
      <w:rPr>
        <w:rFonts w:ascii="Symbol" w:eastAsia="Symbol" w:hAnsi="Symbol" w:cs="Symbol" w:hint="default"/>
        <w:color w:val="FFFFFF"/>
      </w:rPr>
    </w:lvl>
    <w:lvl w:ilvl="3" w:tplc="72221772">
      <w:start w:val="1"/>
      <w:numFmt w:val="bullet"/>
      <w:lvlText w:val="·"/>
      <w:lvlJc w:val="left"/>
      <w:pPr>
        <w:ind w:left="2869" w:hanging="360"/>
      </w:pPr>
      <w:rPr>
        <w:rFonts w:ascii="Symbol" w:eastAsia="Symbol" w:hAnsi="Symbol" w:cs="Symbol" w:hint="default"/>
        <w:color w:val="FFFFFF"/>
      </w:rPr>
    </w:lvl>
    <w:lvl w:ilvl="4" w:tplc="BC2EB366">
      <w:start w:val="1"/>
      <w:numFmt w:val="bullet"/>
      <w:lvlText w:val="·"/>
      <w:lvlJc w:val="left"/>
      <w:pPr>
        <w:ind w:left="3589" w:hanging="360"/>
      </w:pPr>
      <w:rPr>
        <w:rFonts w:ascii="Symbol" w:eastAsia="Symbol" w:hAnsi="Symbol" w:cs="Symbol" w:hint="default"/>
        <w:color w:val="FFFFFF"/>
      </w:rPr>
    </w:lvl>
    <w:lvl w:ilvl="5" w:tplc="FF5AEBB8">
      <w:start w:val="1"/>
      <w:numFmt w:val="bullet"/>
      <w:lvlText w:val="·"/>
      <w:lvlJc w:val="left"/>
      <w:pPr>
        <w:ind w:left="4309" w:hanging="360"/>
      </w:pPr>
      <w:rPr>
        <w:rFonts w:ascii="Symbol" w:eastAsia="Symbol" w:hAnsi="Symbol" w:cs="Symbol" w:hint="default"/>
        <w:color w:val="FFFFFF"/>
      </w:rPr>
    </w:lvl>
    <w:lvl w:ilvl="6" w:tplc="9B0218C2">
      <w:start w:val="1"/>
      <w:numFmt w:val="bullet"/>
      <w:lvlText w:val="·"/>
      <w:lvlJc w:val="left"/>
      <w:pPr>
        <w:ind w:left="5029" w:hanging="360"/>
      </w:pPr>
      <w:rPr>
        <w:rFonts w:ascii="Symbol" w:eastAsia="Symbol" w:hAnsi="Symbol" w:cs="Symbol" w:hint="default"/>
        <w:color w:val="FFFFFF"/>
      </w:rPr>
    </w:lvl>
    <w:lvl w:ilvl="7" w:tplc="3E9A0262">
      <w:start w:val="1"/>
      <w:numFmt w:val="bullet"/>
      <w:lvlText w:val="·"/>
      <w:lvlJc w:val="left"/>
      <w:pPr>
        <w:ind w:left="5749" w:hanging="360"/>
      </w:pPr>
      <w:rPr>
        <w:rFonts w:ascii="Symbol" w:eastAsia="Symbol" w:hAnsi="Symbol" w:cs="Symbol" w:hint="default"/>
        <w:color w:val="FFFFFF"/>
      </w:rPr>
    </w:lvl>
    <w:lvl w:ilvl="8" w:tplc="AD68023A">
      <w:start w:val="1"/>
      <w:numFmt w:val="bullet"/>
      <w:lvlText w:val="·"/>
      <w:lvlJc w:val="left"/>
      <w:pPr>
        <w:ind w:left="6469" w:hanging="360"/>
      </w:pPr>
      <w:rPr>
        <w:rFonts w:ascii="Symbol" w:eastAsia="Symbol" w:hAnsi="Symbol" w:cs="Symbol" w:hint="default"/>
        <w:color w:val="FFFFFF"/>
      </w:rPr>
    </w:lvl>
  </w:abstractNum>
  <w:abstractNum w:abstractNumId="1" w15:restartNumberingAfterBreak="0">
    <w:nsid w:val="61AE188F"/>
    <w:multiLevelType w:val="hybridMultilevel"/>
    <w:tmpl w:val="CE461030"/>
    <w:lvl w:ilvl="0" w:tplc="762ABB52">
      <w:start w:val="1"/>
      <w:numFmt w:val="bullet"/>
      <w:lvlText w:val="·"/>
      <w:lvlJc w:val="left"/>
      <w:pPr>
        <w:ind w:left="709" w:hanging="360"/>
      </w:pPr>
      <w:rPr>
        <w:rFonts w:ascii="Symbol" w:eastAsia="Symbol" w:hAnsi="Symbol" w:cs="Symbol" w:hint="default"/>
      </w:rPr>
    </w:lvl>
    <w:lvl w:ilvl="1" w:tplc="AF609CD8">
      <w:start w:val="1"/>
      <w:numFmt w:val="bullet"/>
      <w:lvlText w:val="·"/>
      <w:lvlJc w:val="left"/>
      <w:pPr>
        <w:ind w:left="1429" w:hanging="360"/>
      </w:pPr>
      <w:rPr>
        <w:rFonts w:ascii="Symbol" w:eastAsia="Symbol" w:hAnsi="Symbol" w:cs="Symbol" w:hint="default"/>
      </w:rPr>
    </w:lvl>
    <w:lvl w:ilvl="2" w:tplc="A6DCF754">
      <w:start w:val="1"/>
      <w:numFmt w:val="bullet"/>
      <w:lvlText w:val="·"/>
      <w:lvlJc w:val="left"/>
      <w:pPr>
        <w:ind w:left="2149" w:hanging="360"/>
      </w:pPr>
      <w:rPr>
        <w:rFonts w:ascii="Symbol" w:eastAsia="Symbol" w:hAnsi="Symbol" w:cs="Symbol" w:hint="default"/>
      </w:rPr>
    </w:lvl>
    <w:lvl w:ilvl="3" w:tplc="0E6EFD74">
      <w:start w:val="1"/>
      <w:numFmt w:val="bullet"/>
      <w:lvlText w:val="·"/>
      <w:lvlJc w:val="left"/>
      <w:pPr>
        <w:ind w:left="2869" w:hanging="360"/>
      </w:pPr>
      <w:rPr>
        <w:rFonts w:ascii="Symbol" w:eastAsia="Symbol" w:hAnsi="Symbol" w:cs="Symbol" w:hint="default"/>
      </w:rPr>
    </w:lvl>
    <w:lvl w:ilvl="4" w:tplc="086EA33E">
      <w:start w:val="1"/>
      <w:numFmt w:val="bullet"/>
      <w:lvlText w:val="·"/>
      <w:lvlJc w:val="left"/>
      <w:pPr>
        <w:ind w:left="3589" w:hanging="360"/>
      </w:pPr>
      <w:rPr>
        <w:rFonts w:ascii="Symbol" w:eastAsia="Symbol" w:hAnsi="Symbol" w:cs="Symbol" w:hint="default"/>
      </w:rPr>
    </w:lvl>
    <w:lvl w:ilvl="5" w:tplc="23B66414">
      <w:start w:val="1"/>
      <w:numFmt w:val="bullet"/>
      <w:lvlText w:val="·"/>
      <w:lvlJc w:val="left"/>
      <w:pPr>
        <w:ind w:left="4309" w:hanging="360"/>
      </w:pPr>
      <w:rPr>
        <w:rFonts w:ascii="Symbol" w:eastAsia="Symbol" w:hAnsi="Symbol" w:cs="Symbol" w:hint="default"/>
      </w:rPr>
    </w:lvl>
    <w:lvl w:ilvl="6" w:tplc="AF38AAFE">
      <w:start w:val="1"/>
      <w:numFmt w:val="bullet"/>
      <w:lvlText w:val="·"/>
      <w:lvlJc w:val="left"/>
      <w:pPr>
        <w:ind w:left="5029" w:hanging="360"/>
      </w:pPr>
      <w:rPr>
        <w:rFonts w:ascii="Symbol" w:eastAsia="Symbol" w:hAnsi="Symbol" w:cs="Symbol" w:hint="default"/>
      </w:rPr>
    </w:lvl>
    <w:lvl w:ilvl="7" w:tplc="65AE3552">
      <w:start w:val="1"/>
      <w:numFmt w:val="bullet"/>
      <w:lvlText w:val="·"/>
      <w:lvlJc w:val="left"/>
      <w:pPr>
        <w:ind w:left="5749" w:hanging="360"/>
      </w:pPr>
      <w:rPr>
        <w:rFonts w:ascii="Symbol" w:eastAsia="Symbol" w:hAnsi="Symbol" w:cs="Symbol" w:hint="default"/>
      </w:rPr>
    </w:lvl>
    <w:lvl w:ilvl="8" w:tplc="DB9C8AF8">
      <w:start w:val="1"/>
      <w:numFmt w:val="bullet"/>
      <w:lvlText w:val="·"/>
      <w:lvlJc w:val="left"/>
      <w:pPr>
        <w:ind w:left="6469" w:hanging="360"/>
      </w:pPr>
      <w:rPr>
        <w:rFonts w:ascii="Symbol" w:eastAsia="Symbol" w:hAnsi="Symbol" w:cs="Symbol" w:hint="default"/>
      </w:rPr>
    </w:lvl>
  </w:abstractNum>
  <w:abstractNum w:abstractNumId="2" w15:restartNumberingAfterBreak="0">
    <w:nsid w:val="692F09AE"/>
    <w:multiLevelType w:val="hybridMultilevel"/>
    <w:tmpl w:val="0F94EA3C"/>
    <w:lvl w:ilvl="0" w:tplc="91B42D72">
      <w:start w:val="1"/>
      <w:numFmt w:val="bullet"/>
      <w:lvlText w:val="·"/>
      <w:lvlJc w:val="left"/>
      <w:pPr>
        <w:ind w:left="709" w:hanging="360"/>
      </w:pPr>
      <w:rPr>
        <w:rFonts w:ascii="Symbol" w:eastAsia="Symbol" w:hAnsi="Symbol" w:cs="Symbol" w:hint="default"/>
      </w:rPr>
    </w:lvl>
    <w:lvl w:ilvl="1" w:tplc="CA8CDF32">
      <w:start w:val="1"/>
      <w:numFmt w:val="bullet"/>
      <w:lvlText w:val="·"/>
      <w:lvlJc w:val="left"/>
      <w:pPr>
        <w:ind w:left="1429" w:hanging="360"/>
      </w:pPr>
      <w:rPr>
        <w:rFonts w:ascii="Symbol" w:eastAsia="Symbol" w:hAnsi="Symbol" w:cs="Symbol" w:hint="default"/>
      </w:rPr>
    </w:lvl>
    <w:lvl w:ilvl="2" w:tplc="20F49E34">
      <w:start w:val="1"/>
      <w:numFmt w:val="bullet"/>
      <w:lvlText w:val="·"/>
      <w:lvlJc w:val="left"/>
      <w:pPr>
        <w:ind w:left="2149" w:hanging="360"/>
      </w:pPr>
      <w:rPr>
        <w:rFonts w:ascii="Symbol" w:eastAsia="Symbol" w:hAnsi="Symbol" w:cs="Symbol" w:hint="default"/>
      </w:rPr>
    </w:lvl>
    <w:lvl w:ilvl="3" w:tplc="D82E1736">
      <w:start w:val="1"/>
      <w:numFmt w:val="bullet"/>
      <w:lvlText w:val="·"/>
      <w:lvlJc w:val="left"/>
      <w:pPr>
        <w:ind w:left="2869" w:hanging="360"/>
      </w:pPr>
      <w:rPr>
        <w:rFonts w:ascii="Symbol" w:eastAsia="Symbol" w:hAnsi="Symbol" w:cs="Symbol" w:hint="default"/>
      </w:rPr>
    </w:lvl>
    <w:lvl w:ilvl="4" w:tplc="D2163E64">
      <w:start w:val="1"/>
      <w:numFmt w:val="bullet"/>
      <w:lvlText w:val="·"/>
      <w:lvlJc w:val="left"/>
      <w:pPr>
        <w:ind w:left="3589" w:hanging="360"/>
      </w:pPr>
      <w:rPr>
        <w:rFonts w:ascii="Symbol" w:eastAsia="Symbol" w:hAnsi="Symbol" w:cs="Symbol" w:hint="default"/>
      </w:rPr>
    </w:lvl>
    <w:lvl w:ilvl="5" w:tplc="EA04494C">
      <w:start w:val="1"/>
      <w:numFmt w:val="bullet"/>
      <w:lvlText w:val="·"/>
      <w:lvlJc w:val="left"/>
      <w:pPr>
        <w:ind w:left="4309" w:hanging="360"/>
      </w:pPr>
      <w:rPr>
        <w:rFonts w:ascii="Symbol" w:eastAsia="Symbol" w:hAnsi="Symbol" w:cs="Symbol" w:hint="default"/>
      </w:rPr>
    </w:lvl>
    <w:lvl w:ilvl="6" w:tplc="47223FBA">
      <w:start w:val="1"/>
      <w:numFmt w:val="bullet"/>
      <w:lvlText w:val="·"/>
      <w:lvlJc w:val="left"/>
      <w:pPr>
        <w:ind w:left="5029" w:hanging="360"/>
      </w:pPr>
      <w:rPr>
        <w:rFonts w:ascii="Symbol" w:eastAsia="Symbol" w:hAnsi="Symbol" w:cs="Symbol" w:hint="default"/>
      </w:rPr>
    </w:lvl>
    <w:lvl w:ilvl="7" w:tplc="1B5ABFAC">
      <w:start w:val="1"/>
      <w:numFmt w:val="bullet"/>
      <w:lvlText w:val="·"/>
      <w:lvlJc w:val="left"/>
      <w:pPr>
        <w:ind w:left="5749" w:hanging="360"/>
      </w:pPr>
      <w:rPr>
        <w:rFonts w:ascii="Symbol" w:eastAsia="Symbol" w:hAnsi="Symbol" w:cs="Symbol" w:hint="default"/>
      </w:rPr>
    </w:lvl>
    <w:lvl w:ilvl="8" w:tplc="C19AAC16">
      <w:start w:val="1"/>
      <w:numFmt w:val="bullet"/>
      <w:lvlText w:val="·"/>
      <w:lvlJc w:val="left"/>
      <w:pPr>
        <w:ind w:left="6469" w:hanging="360"/>
      </w:pPr>
      <w:rPr>
        <w:rFonts w:ascii="Symbol" w:eastAsia="Symbol" w:hAnsi="Symbol" w:cs="Symbol" w:hint="default"/>
      </w:rPr>
    </w:lvl>
  </w:abstractNum>
  <w:num w:numId="1" w16cid:durableId="1820272053">
    <w:abstractNumId w:val="0"/>
  </w:num>
  <w:num w:numId="2" w16cid:durableId="1957826426">
    <w:abstractNumId w:val="2"/>
  </w:num>
  <w:num w:numId="3" w16cid:durableId="74881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E5"/>
    <w:rsid w:val="00015D5F"/>
    <w:rsid w:val="004C1AE5"/>
    <w:rsid w:val="00F11415"/>
    <w:rsid w:val="00F8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72B1C-4EA8-44C0-8E84-08E1FBB4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Revision"/>
    <w:hidden/>
    <w:uiPriority w:val="99"/>
    <w:semiHidden/>
    <w:pPr>
      <w:spacing w:after="0" w:line="240" w:lineRule="auto"/>
    </w:pPr>
    <w:rPr>
      <w:rFonts w:ascii="Liberation Sans" w:eastAsia="Liberation Sans" w:hAnsi="Liberation Sans" w:cs="Liberation Sans"/>
      <w:sz w:val="20"/>
      <w:szCs w:val="20"/>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style>
  <w:style w:type="character" w:customStyle="1" w:styleId="afd">
    <w:name w:val="Текст примечания Знак"/>
    <w:basedOn w:val="a0"/>
    <w:link w:val="afc"/>
    <w:uiPriority w:val="99"/>
    <w:semiHidden/>
    <w:rPr>
      <w:rFonts w:ascii="Liberation Sans" w:eastAsia="Liberation Sans" w:hAnsi="Liberation Sans" w:cs="Liberation Sans"/>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Liberation Sans" w:eastAsia="Liberation Sans" w:hAnsi="Liberation Sans" w:cs="Liberatio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Алиса Максимовна</dc:creator>
  <cp:lastModifiedBy>Евгений В. Казимиров</cp:lastModifiedBy>
  <cp:revision>5</cp:revision>
  <dcterms:created xsi:type="dcterms:W3CDTF">2026-05-07T13:33:00Z</dcterms:created>
  <dcterms:modified xsi:type="dcterms:W3CDTF">2026-07-07T05:35:00Z</dcterms:modified>
</cp:coreProperties>
</file>